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3B" w:rsidRDefault="00204A3B" w:rsidP="00204A3B">
      <w:pPr>
        <w:rPr>
          <w:rFonts w:ascii="Arial" w:hAnsi="Arial" w:cs="Arial"/>
          <w:szCs w:val="22"/>
        </w:rPr>
      </w:pPr>
      <w:r w:rsidRPr="008B3FCF">
        <w:rPr>
          <w:rFonts w:ascii="Arial" w:hAnsi="Arial" w:cs="Arial"/>
          <w:b/>
          <w:szCs w:val="22"/>
        </w:rPr>
        <w:t>Work</w:t>
      </w:r>
      <w:r>
        <w:rPr>
          <w:rFonts w:ascii="Arial" w:hAnsi="Arial" w:cs="Arial"/>
          <w:b/>
          <w:szCs w:val="22"/>
        </w:rPr>
        <w:t xml:space="preserve"> </w:t>
      </w:r>
      <w:r w:rsidRPr="008B3FCF">
        <w:rPr>
          <w:rFonts w:ascii="Arial" w:hAnsi="Arial" w:cs="Arial"/>
          <w:b/>
          <w:szCs w:val="22"/>
        </w:rPr>
        <w:t>package 3: Additional site studies</w:t>
      </w: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926"/>
        <w:gridCol w:w="208"/>
        <w:gridCol w:w="954"/>
        <w:gridCol w:w="951"/>
        <w:gridCol w:w="930"/>
        <w:gridCol w:w="803"/>
        <w:gridCol w:w="247"/>
        <w:gridCol w:w="775"/>
        <w:gridCol w:w="927"/>
      </w:tblGrid>
      <w:tr w:rsidR="00204A3B" w:rsidRPr="008B3FCF" w:rsidTr="006110F4">
        <w:trPr>
          <w:cantSplit/>
        </w:trPr>
        <w:tc>
          <w:tcPr>
            <w:tcW w:w="3369" w:type="dxa"/>
          </w:tcPr>
          <w:p w:rsidR="00204A3B" w:rsidRPr="008B3FCF" w:rsidRDefault="00204A3B" w:rsidP="006110F4">
            <w:pPr>
              <w:rPr>
                <w:rFonts w:ascii="Arial" w:hAnsi="Arial" w:cs="Arial"/>
                <w:b/>
                <w:color w:val="000000"/>
                <w:sz w:val="20"/>
              </w:rPr>
            </w:pPr>
            <w:r w:rsidRPr="008B3FCF">
              <w:rPr>
                <w:rFonts w:ascii="Arial" w:hAnsi="Arial" w:cs="Arial"/>
                <w:b/>
                <w:color w:val="000000"/>
                <w:sz w:val="20"/>
              </w:rPr>
              <w:t xml:space="preserve">Work package number </w:t>
            </w:r>
          </w:p>
        </w:tc>
        <w:tc>
          <w:tcPr>
            <w:tcW w:w="1134" w:type="dxa"/>
            <w:gridSpan w:val="2"/>
          </w:tcPr>
          <w:p w:rsidR="00204A3B" w:rsidRPr="008B3FCF" w:rsidRDefault="00204A3B" w:rsidP="006110F4">
            <w:pPr>
              <w:rPr>
                <w:rFonts w:ascii="Arial" w:hAnsi="Arial" w:cs="Arial"/>
                <w:color w:val="000000"/>
                <w:sz w:val="20"/>
              </w:rPr>
            </w:pPr>
            <w:r w:rsidRPr="008B3FCF">
              <w:rPr>
                <w:rFonts w:ascii="Arial" w:hAnsi="Arial" w:cs="Arial"/>
                <w:color w:val="000000"/>
                <w:sz w:val="20"/>
              </w:rPr>
              <w:t>WP3</w:t>
            </w:r>
          </w:p>
        </w:tc>
        <w:tc>
          <w:tcPr>
            <w:tcW w:w="3638" w:type="dxa"/>
            <w:gridSpan w:val="4"/>
          </w:tcPr>
          <w:p w:rsidR="00204A3B" w:rsidRPr="008B3FCF" w:rsidRDefault="00204A3B" w:rsidP="006110F4">
            <w:pPr>
              <w:rPr>
                <w:rFonts w:ascii="Arial" w:hAnsi="Arial" w:cs="Arial"/>
                <w:color w:val="000000"/>
                <w:sz w:val="20"/>
              </w:rPr>
            </w:pPr>
            <w:r w:rsidRPr="008B3FCF">
              <w:rPr>
                <w:rFonts w:ascii="Arial" w:hAnsi="Arial" w:cs="Arial"/>
                <w:b/>
                <w:color w:val="000000"/>
                <w:sz w:val="20"/>
              </w:rPr>
              <w:t>Start date or starting event:</w:t>
            </w:r>
          </w:p>
        </w:tc>
        <w:tc>
          <w:tcPr>
            <w:tcW w:w="1949" w:type="dxa"/>
            <w:gridSpan w:val="3"/>
          </w:tcPr>
          <w:p w:rsidR="00204A3B" w:rsidRPr="008B3FCF" w:rsidRDefault="00204A3B" w:rsidP="006110F4">
            <w:pPr>
              <w:rPr>
                <w:rFonts w:ascii="Arial" w:hAnsi="Arial" w:cs="Arial"/>
                <w:color w:val="000000"/>
                <w:sz w:val="20"/>
              </w:rPr>
            </w:pPr>
            <w:r w:rsidRPr="008B3FCF">
              <w:rPr>
                <w:rFonts w:ascii="Arial" w:hAnsi="Arial" w:cs="Arial"/>
                <w:color w:val="000000"/>
                <w:sz w:val="20"/>
              </w:rPr>
              <w:t>T+0 months</w:t>
            </w:r>
          </w:p>
        </w:tc>
      </w:tr>
      <w:tr w:rsidR="00204A3B" w:rsidRPr="008B3FCF" w:rsidTr="006110F4">
        <w:trPr>
          <w:cantSplit/>
        </w:trPr>
        <w:tc>
          <w:tcPr>
            <w:tcW w:w="3369" w:type="dxa"/>
          </w:tcPr>
          <w:p w:rsidR="00204A3B" w:rsidRPr="008B3FCF" w:rsidRDefault="00204A3B" w:rsidP="006110F4">
            <w:pPr>
              <w:rPr>
                <w:rFonts w:ascii="Arial" w:hAnsi="Arial" w:cs="Arial"/>
                <w:b/>
                <w:color w:val="000000"/>
                <w:sz w:val="20"/>
              </w:rPr>
            </w:pPr>
            <w:r w:rsidRPr="008B3FCF">
              <w:rPr>
                <w:rFonts w:ascii="Arial" w:hAnsi="Arial" w:cs="Arial"/>
                <w:b/>
                <w:color w:val="000000"/>
                <w:sz w:val="20"/>
              </w:rPr>
              <w:t>Work package title</w:t>
            </w:r>
          </w:p>
        </w:tc>
        <w:tc>
          <w:tcPr>
            <w:tcW w:w="6721" w:type="dxa"/>
            <w:gridSpan w:val="9"/>
          </w:tcPr>
          <w:p w:rsidR="00204A3B" w:rsidRPr="008B3FCF" w:rsidRDefault="00204A3B" w:rsidP="006110F4">
            <w:pPr>
              <w:rPr>
                <w:rFonts w:ascii="Arial" w:hAnsi="Arial" w:cs="Arial"/>
                <w:color w:val="000000"/>
                <w:sz w:val="20"/>
              </w:rPr>
            </w:pPr>
            <w:r w:rsidRPr="008B3FCF">
              <w:rPr>
                <w:rFonts w:ascii="Arial" w:hAnsi="Arial" w:cs="Arial"/>
                <w:color w:val="000000"/>
                <w:sz w:val="20"/>
              </w:rPr>
              <w:t xml:space="preserve">Additional </w:t>
            </w:r>
            <w:r>
              <w:rPr>
                <w:rFonts w:ascii="Arial" w:hAnsi="Arial" w:cs="Arial"/>
                <w:color w:val="000000"/>
                <w:sz w:val="20"/>
              </w:rPr>
              <w:t xml:space="preserve">site </w:t>
            </w:r>
            <w:r w:rsidRPr="008B3FCF">
              <w:rPr>
                <w:rFonts w:ascii="Arial" w:hAnsi="Arial" w:cs="Arial"/>
                <w:color w:val="000000"/>
                <w:sz w:val="20"/>
              </w:rPr>
              <w:t xml:space="preserve">studies </w:t>
            </w:r>
          </w:p>
        </w:tc>
      </w:tr>
      <w:tr w:rsidR="00204A3B" w:rsidRPr="008B3FCF" w:rsidTr="006110F4">
        <w:trPr>
          <w:cantSplit/>
        </w:trPr>
        <w:tc>
          <w:tcPr>
            <w:tcW w:w="3369" w:type="dxa"/>
          </w:tcPr>
          <w:p w:rsidR="00204A3B" w:rsidRPr="008B3FCF" w:rsidRDefault="00204A3B" w:rsidP="006110F4">
            <w:pPr>
              <w:rPr>
                <w:rFonts w:ascii="Arial" w:hAnsi="Arial" w:cs="Arial"/>
                <w:b/>
                <w:color w:val="000000"/>
                <w:sz w:val="20"/>
              </w:rPr>
            </w:pPr>
            <w:r w:rsidRPr="008B3FCF">
              <w:rPr>
                <w:rFonts w:ascii="Arial" w:hAnsi="Arial" w:cs="Arial"/>
                <w:b/>
                <w:color w:val="000000"/>
                <w:sz w:val="20"/>
              </w:rPr>
              <w:t>Activity Type</w:t>
            </w:r>
            <w:r w:rsidRPr="008B3FCF">
              <w:rPr>
                <w:rStyle w:val="FootnoteReference"/>
                <w:rFonts w:ascii="Arial" w:hAnsi="Arial" w:cs="Arial"/>
                <w:b/>
                <w:color w:val="000000"/>
                <w:sz w:val="20"/>
              </w:rPr>
              <w:footnoteReference w:id="1"/>
            </w:r>
          </w:p>
        </w:tc>
        <w:tc>
          <w:tcPr>
            <w:tcW w:w="6721" w:type="dxa"/>
            <w:gridSpan w:val="9"/>
          </w:tcPr>
          <w:p w:rsidR="00204A3B" w:rsidRPr="008B3FCF" w:rsidRDefault="00204A3B" w:rsidP="006110F4">
            <w:pPr>
              <w:rPr>
                <w:rFonts w:ascii="Arial" w:hAnsi="Arial" w:cs="Arial"/>
                <w:color w:val="000000"/>
                <w:sz w:val="20"/>
              </w:rPr>
            </w:pPr>
            <w:r w:rsidRPr="008B3FCF">
              <w:rPr>
                <w:rFonts w:ascii="Arial" w:hAnsi="Arial" w:cs="Arial"/>
                <w:color w:val="000000"/>
                <w:sz w:val="20"/>
              </w:rPr>
              <w:t>SUPP</w:t>
            </w:r>
          </w:p>
        </w:tc>
      </w:tr>
      <w:tr w:rsidR="00204A3B" w:rsidRPr="008B3FCF" w:rsidTr="006110F4">
        <w:trPr>
          <w:cantSplit/>
        </w:trPr>
        <w:tc>
          <w:tcPr>
            <w:tcW w:w="3369" w:type="dxa"/>
          </w:tcPr>
          <w:p w:rsidR="00204A3B" w:rsidRPr="008B3FCF" w:rsidRDefault="00204A3B" w:rsidP="006110F4">
            <w:pPr>
              <w:rPr>
                <w:rFonts w:ascii="Arial" w:hAnsi="Arial" w:cs="Arial"/>
                <w:b/>
                <w:color w:val="000000"/>
                <w:sz w:val="20"/>
              </w:rPr>
            </w:pPr>
            <w:r>
              <w:rPr>
                <w:rFonts w:ascii="Arial" w:hAnsi="Arial" w:cs="Arial"/>
                <w:b/>
                <w:color w:val="000000"/>
                <w:sz w:val="20"/>
              </w:rPr>
              <w:t>Participant id</w:t>
            </w:r>
          </w:p>
        </w:tc>
        <w:tc>
          <w:tcPr>
            <w:tcW w:w="926" w:type="dxa"/>
          </w:tcPr>
          <w:p w:rsidR="00204A3B" w:rsidRPr="008B3FCF" w:rsidRDefault="00204A3B" w:rsidP="006110F4">
            <w:pPr>
              <w:jc w:val="center"/>
              <w:rPr>
                <w:rFonts w:ascii="Arial" w:hAnsi="Arial" w:cs="Arial"/>
                <w:color w:val="000000"/>
                <w:sz w:val="20"/>
              </w:rPr>
            </w:pPr>
            <w:r>
              <w:rPr>
                <w:rFonts w:ascii="Arial" w:hAnsi="Arial" w:cs="Arial"/>
                <w:color w:val="000000"/>
                <w:sz w:val="20"/>
              </w:rPr>
              <w:t>22</w:t>
            </w:r>
          </w:p>
        </w:tc>
        <w:tc>
          <w:tcPr>
            <w:tcW w:w="1162" w:type="dxa"/>
            <w:gridSpan w:val="2"/>
          </w:tcPr>
          <w:p w:rsidR="00204A3B" w:rsidRPr="008B3FCF" w:rsidRDefault="00204A3B" w:rsidP="006110F4">
            <w:pPr>
              <w:jc w:val="center"/>
              <w:rPr>
                <w:rFonts w:ascii="Arial" w:hAnsi="Arial" w:cs="Arial"/>
                <w:color w:val="000000"/>
                <w:sz w:val="20"/>
              </w:rPr>
            </w:pPr>
            <w:r>
              <w:rPr>
                <w:rFonts w:ascii="Arial" w:hAnsi="Arial" w:cs="Arial"/>
                <w:color w:val="000000"/>
                <w:sz w:val="20"/>
              </w:rPr>
              <w:t>7</w:t>
            </w:r>
          </w:p>
        </w:tc>
        <w:tc>
          <w:tcPr>
            <w:tcW w:w="951" w:type="dxa"/>
          </w:tcPr>
          <w:p w:rsidR="00204A3B" w:rsidRPr="008B3FCF" w:rsidRDefault="00204A3B" w:rsidP="006110F4">
            <w:pPr>
              <w:jc w:val="center"/>
              <w:rPr>
                <w:rFonts w:ascii="Arial" w:hAnsi="Arial" w:cs="Arial"/>
                <w:color w:val="000000"/>
                <w:sz w:val="20"/>
              </w:rPr>
            </w:pPr>
            <w:r>
              <w:rPr>
                <w:rFonts w:ascii="Arial" w:hAnsi="Arial" w:cs="Arial"/>
                <w:color w:val="000000"/>
                <w:sz w:val="20"/>
              </w:rPr>
              <w:t>9</w:t>
            </w:r>
          </w:p>
        </w:tc>
        <w:tc>
          <w:tcPr>
            <w:tcW w:w="930" w:type="dxa"/>
          </w:tcPr>
          <w:p w:rsidR="00204A3B" w:rsidRPr="008B3FCF" w:rsidRDefault="00204A3B" w:rsidP="006110F4">
            <w:pPr>
              <w:jc w:val="center"/>
              <w:rPr>
                <w:rFonts w:ascii="Arial" w:hAnsi="Arial" w:cs="Arial"/>
                <w:color w:val="000000"/>
                <w:sz w:val="20"/>
              </w:rPr>
            </w:pPr>
            <w:r>
              <w:rPr>
                <w:rFonts w:ascii="Arial" w:hAnsi="Arial" w:cs="Arial"/>
                <w:color w:val="000000"/>
                <w:sz w:val="20"/>
              </w:rPr>
              <w:t>10</w:t>
            </w:r>
          </w:p>
        </w:tc>
        <w:tc>
          <w:tcPr>
            <w:tcW w:w="1050" w:type="dxa"/>
            <w:gridSpan w:val="2"/>
          </w:tcPr>
          <w:p w:rsidR="00204A3B" w:rsidRPr="008B3FCF" w:rsidRDefault="00204A3B" w:rsidP="006110F4">
            <w:pPr>
              <w:jc w:val="center"/>
              <w:rPr>
                <w:rFonts w:ascii="Arial" w:hAnsi="Arial" w:cs="Arial"/>
                <w:color w:val="000000"/>
                <w:sz w:val="20"/>
              </w:rPr>
            </w:pPr>
            <w:r>
              <w:rPr>
                <w:rFonts w:ascii="Arial" w:hAnsi="Arial" w:cs="Arial"/>
                <w:color w:val="000000"/>
                <w:sz w:val="20"/>
              </w:rPr>
              <w:t>15</w:t>
            </w:r>
          </w:p>
        </w:tc>
        <w:tc>
          <w:tcPr>
            <w:tcW w:w="775" w:type="dxa"/>
          </w:tcPr>
          <w:p w:rsidR="00204A3B" w:rsidRPr="008B3FCF" w:rsidRDefault="00204A3B" w:rsidP="006110F4">
            <w:pPr>
              <w:rPr>
                <w:rFonts w:ascii="Arial" w:hAnsi="Arial" w:cs="Arial"/>
                <w:color w:val="000000"/>
                <w:sz w:val="20"/>
              </w:rPr>
            </w:pPr>
          </w:p>
        </w:tc>
        <w:tc>
          <w:tcPr>
            <w:tcW w:w="927" w:type="dxa"/>
          </w:tcPr>
          <w:p w:rsidR="00204A3B" w:rsidRPr="008B3FCF" w:rsidRDefault="00204A3B" w:rsidP="006110F4">
            <w:pPr>
              <w:rPr>
                <w:rFonts w:ascii="Arial" w:hAnsi="Arial" w:cs="Arial"/>
                <w:color w:val="000000"/>
                <w:sz w:val="20"/>
              </w:rPr>
            </w:pPr>
          </w:p>
        </w:tc>
      </w:tr>
      <w:tr w:rsidR="00204A3B" w:rsidRPr="008B3FCF" w:rsidTr="006110F4">
        <w:trPr>
          <w:cantSplit/>
        </w:trPr>
        <w:tc>
          <w:tcPr>
            <w:tcW w:w="3369" w:type="dxa"/>
          </w:tcPr>
          <w:p w:rsidR="00204A3B" w:rsidRPr="008B3FCF" w:rsidRDefault="00204A3B" w:rsidP="006110F4">
            <w:pPr>
              <w:jc w:val="left"/>
              <w:rPr>
                <w:rFonts w:ascii="Arial" w:hAnsi="Arial" w:cs="Arial"/>
                <w:b/>
                <w:color w:val="000000"/>
                <w:sz w:val="20"/>
              </w:rPr>
            </w:pPr>
            <w:r>
              <w:rPr>
                <w:rFonts w:ascii="Arial" w:hAnsi="Arial" w:cs="Arial"/>
                <w:b/>
                <w:color w:val="000000"/>
                <w:sz w:val="20"/>
              </w:rPr>
              <w:t>Person-months per beneficiary</w:t>
            </w:r>
            <w:r w:rsidRPr="008B3FCF">
              <w:rPr>
                <w:rFonts w:ascii="Arial" w:hAnsi="Arial" w:cs="Arial"/>
                <w:b/>
                <w:color w:val="000000"/>
                <w:sz w:val="20"/>
              </w:rPr>
              <w:t>:</w:t>
            </w:r>
          </w:p>
        </w:tc>
        <w:tc>
          <w:tcPr>
            <w:tcW w:w="926" w:type="dxa"/>
          </w:tcPr>
          <w:p w:rsidR="00204A3B" w:rsidRPr="008B3FCF" w:rsidRDefault="00204A3B" w:rsidP="006110F4">
            <w:pPr>
              <w:jc w:val="center"/>
              <w:rPr>
                <w:rFonts w:ascii="Arial" w:hAnsi="Arial" w:cs="Arial"/>
                <w:color w:val="000000"/>
                <w:sz w:val="20"/>
              </w:rPr>
            </w:pPr>
            <w:r>
              <w:rPr>
                <w:rFonts w:ascii="Arial" w:hAnsi="Arial" w:cs="Arial"/>
                <w:color w:val="000000"/>
                <w:sz w:val="20"/>
              </w:rPr>
              <w:t>(3)</w:t>
            </w:r>
          </w:p>
        </w:tc>
        <w:tc>
          <w:tcPr>
            <w:tcW w:w="1162" w:type="dxa"/>
            <w:gridSpan w:val="2"/>
          </w:tcPr>
          <w:p w:rsidR="00204A3B" w:rsidRPr="00961C3C" w:rsidRDefault="00204A3B" w:rsidP="006110F4">
            <w:pPr>
              <w:jc w:val="center"/>
              <w:rPr>
                <w:rFonts w:ascii="Arial" w:hAnsi="Arial" w:cs="Arial"/>
                <w:color w:val="000000"/>
                <w:sz w:val="20"/>
              </w:rPr>
            </w:pPr>
            <w:r>
              <w:rPr>
                <w:rFonts w:ascii="Arial" w:hAnsi="Arial" w:cs="Arial"/>
                <w:color w:val="000000"/>
                <w:sz w:val="20"/>
              </w:rPr>
              <w:t>(36)</w:t>
            </w:r>
          </w:p>
        </w:tc>
        <w:tc>
          <w:tcPr>
            <w:tcW w:w="951" w:type="dxa"/>
          </w:tcPr>
          <w:p w:rsidR="00204A3B" w:rsidRPr="00AB24B0" w:rsidRDefault="00204A3B" w:rsidP="006110F4">
            <w:pPr>
              <w:jc w:val="center"/>
              <w:rPr>
                <w:rFonts w:ascii="Arial" w:hAnsi="Arial" w:cs="Arial"/>
                <w:color w:val="000000"/>
                <w:sz w:val="20"/>
              </w:rPr>
            </w:pPr>
            <w:r w:rsidRPr="00AB24B0">
              <w:rPr>
                <w:rFonts w:ascii="Arial" w:hAnsi="Arial" w:cs="Arial"/>
                <w:color w:val="000000"/>
                <w:sz w:val="20"/>
              </w:rPr>
              <w:t>36</w:t>
            </w:r>
          </w:p>
        </w:tc>
        <w:tc>
          <w:tcPr>
            <w:tcW w:w="930" w:type="dxa"/>
          </w:tcPr>
          <w:p w:rsidR="00204A3B" w:rsidRPr="008B3FCF" w:rsidRDefault="00204A3B" w:rsidP="006110F4">
            <w:pPr>
              <w:jc w:val="center"/>
              <w:rPr>
                <w:rFonts w:ascii="Arial" w:hAnsi="Arial" w:cs="Arial"/>
                <w:color w:val="000000"/>
                <w:sz w:val="20"/>
              </w:rPr>
            </w:pPr>
            <w:r>
              <w:rPr>
                <w:rFonts w:ascii="Arial" w:hAnsi="Arial" w:cs="Arial"/>
                <w:color w:val="000000"/>
                <w:sz w:val="20"/>
              </w:rPr>
              <w:t>(9)</w:t>
            </w:r>
          </w:p>
        </w:tc>
        <w:tc>
          <w:tcPr>
            <w:tcW w:w="1050" w:type="dxa"/>
            <w:gridSpan w:val="2"/>
          </w:tcPr>
          <w:p w:rsidR="00204A3B" w:rsidRPr="008B3FCF" w:rsidRDefault="00204A3B" w:rsidP="006110F4">
            <w:pPr>
              <w:jc w:val="center"/>
              <w:rPr>
                <w:rFonts w:ascii="Arial" w:hAnsi="Arial" w:cs="Arial"/>
                <w:color w:val="000000"/>
                <w:sz w:val="20"/>
              </w:rPr>
            </w:pPr>
            <w:r>
              <w:rPr>
                <w:rFonts w:ascii="Arial" w:hAnsi="Arial" w:cs="Arial"/>
                <w:color w:val="000000"/>
                <w:sz w:val="20"/>
              </w:rPr>
              <w:t>(54)</w:t>
            </w:r>
          </w:p>
        </w:tc>
        <w:tc>
          <w:tcPr>
            <w:tcW w:w="775" w:type="dxa"/>
          </w:tcPr>
          <w:p w:rsidR="00204A3B" w:rsidRPr="008B3FCF" w:rsidRDefault="00204A3B" w:rsidP="006110F4">
            <w:pPr>
              <w:rPr>
                <w:rFonts w:ascii="Arial" w:hAnsi="Arial" w:cs="Arial"/>
                <w:color w:val="000000"/>
                <w:sz w:val="20"/>
              </w:rPr>
            </w:pPr>
          </w:p>
        </w:tc>
        <w:tc>
          <w:tcPr>
            <w:tcW w:w="927" w:type="dxa"/>
          </w:tcPr>
          <w:p w:rsidR="00204A3B" w:rsidRPr="008B3FCF" w:rsidRDefault="00204A3B" w:rsidP="006110F4">
            <w:pPr>
              <w:rPr>
                <w:rFonts w:ascii="Arial" w:hAnsi="Arial" w:cs="Arial"/>
                <w:color w:val="000000"/>
                <w:sz w:val="20"/>
              </w:rPr>
            </w:pPr>
          </w:p>
        </w:tc>
      </w:tr>
    </w:tbl>
    <w:p w:rsidR="00204A3B" w:rsidRPr="009C6AA7" w:rsidRDefault="00204A3B" w:rsidP="00204A3B">
      <w:pPr>
        <w:spacing w:before="60" w:after="60"/>
        <w:rPr>
          <w:rFonts w:ascii="Arial" w:hAnsi="Arial" w:cs="Arial"/>
          <w:color w:val="000000"/>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31"/>
      </w:tblGrid>
      <w:tr w:rsidR="00204A3B" w:rsidRPr="008B3FCF" w:rsidTr="006110F4">
        <w:tc>
          <w:tcPr>
            <w:tcW w:w="10031" w:type="dxa"/>
          </w:tcPr>
          <w:p w:rsidR="00204A3B" w:rsidRPr="008B3FCF" w:rsidRDefault="00204A3B" w:rsidP="006110F4">
            <w:pPr>
              <w:spacing w:before="60" w:after="60"/>
              <w:rPr>
                <w:rFonts w:ascii="Arial" w:hAnsi="Arial" w:cs="Arial"/>
                <w:color w:val="000000"/>
                <w:sz w:val="20"/>
              </w:rPr>
            </w:pPr>
            <w:r w:rsidRPr="008B3FCF">
              <w:rPr>
                <w:rFonts w:ascii="Arial" w:hAnsi="Arial" w:cs="Arial"/>
                <w:b/>
                <w:color w:val="000000"/>
                <w:sz w:val="20"/>
              </w:rPr>
              <w:t>Objectives</w:t>
            </w:r>
            <w:r w:rsidRPr="008B3FCF">
              <w:rPr>
                <w:rFonts w:ascii="Arial" w:hAnsi="Arial" w:cs="Arial"/>
                <w:color w:val="000000"/>
                <w:sz w:val="20"/>
              </w:rPr>
              <w:t xml:space="preserve"> </w:t>
            </w:r>
          </w:p>
          <w:p w:rsidR="00204A3B" w:rsidRPr="008B3FCF" w:rsidRDefault="00204A3B" w:rsidP="006110F4">
            <w:pPr>
              <w:autoSpaceDE w:val="0"/>
              <w:autoSpaceDN w:val="0"/>
              <w:adjustRightInd w:val="0"/>
              <w:jc w:val="left"/>
              <w:rPr>
                <w:rFonts w:ascii="Arial" w:hAnsi="Arial" w:cs="Arial"/>
                <w:sz w:val="20"/>
              </w:rPr>
            </w:pPr>
            <w:r w:rsidRPr="008B3FCF">
              <w:rPr>
                <w:rFonts w:ascii="Arial" w:hAnsi="Arial" w:cs="Arial"/>
                <w:sz w:val="20"/>
              </w:rPr>
              <w:t>To inform the decision making process leading to final selection of the SKA site</w:t>
            </w:r>
          </w:p>
          <w:p w:rsidR="00204A3B" w:rsidRPr="008B3FCF" w:rsidRDefault="00204A3B" w:rsidP="00204A3B">
            <w:pPr>
              <w:numPr>
                <w:ilvl w:val="0"/>
                <w:numId w:val="1"/>
              </w:numPr>
              <w:autoSpaceDE w:val="0"/>
              <w:autoSpaceDN w:val="0"/>
              <w:adjustRightInd w:val="0"/>
              <w:jc w:val="left"/>
              <w:rPr>
                <w:rFonts w:ascii="Arial" w:hAnsi="Arial" w:cs="Arial"/>
                <w:sz w:val="20"/>
              </w:rPr>
            </w:pPr>
            <w:r w:rsidRPr="008B3FCF">
              <w:rPr>
                <w:rFonts w:ascii="Arial" w:hAnsi="Arial" w:cs="Arial"/>
                <w:sz w:val="20"/>
              </w:rPr>
              <w:t xml:space="preserve">carry out further measurements and studies of the characteristics of the two sites short-listed by the International SKA Steering Committee, </w:t>
            </w:r>
          </w:p>
          <w:p w:rsidR="00204A3B" w:rsidRPr="008B3FCF" w:rsidRDefault="00204A3B" w:rsidP="00204A3B">
            <w:pPr>
              <w:numPr>
                <w:ilvl w:val="0"/>
                <w:numId w:val="1"/>
              </w:numPr>
              <w:autoSpaceDE w:val="0"/>
              <w:autoSpaceDN w:val="0"/>
              <w:adjustRightInd w:val="0"/>
              <w:jc w:val="left"/>
              <w:rPr>
                <w:rFonts w:ascii="Arial" w:hAnsi="Arial" w:cs="Arial"/>
                <w:sz w:val="20"/>
              </w:rPr>
            </w:pPr>
            <w:r w:rsidRPr="008B3FCF">
              <w:rPr>
                <w:rFonts w:ascii="Arial" w:hAnsi="Arial" w:cs="Arial"/>
                <w:sz w:val="20"/>
              </w:rPr>
              <w:t>investigate infrastructure deployment costs and timescales, and</w:t>
            </w:r>
          </w:p>
          <w:p w:rsidR="00204A3B" w:rsidRPr="008B3FCF" w:rsidRDefault="00204A3B" w:rsidP="00204A3B">
            <w:pPr>
              <w:numPr>
                <w:ilvl w:val="0"/>
                <w:numId w:val="1"/>
              </w:numPr>
              <w:autoSpaceDE w:val="0"/>
              <w:autoSpaceDN w:val="0"/>
              <w:adjustRightInd w:val="0"/>
              <w:jc w:val="left"/>
              <w:rPr>
                <w:rFonts w:ascii="Arial" w:hAnsi="Arial" w:cs="Arial"/>
                <w:sz w:val="20"/>
              </w:rPr>
            </w:pPr>
            <w:r w:rsidRPr="008B3FCF">
              <w:rPr>
                <w:rFonts w:ascii="Arial" w:hAnsi="Arial" w:cs="Arial"/>
                <w:sz w:val="20"/>
              </w:rPr>
              <w:t>carry out an analysis of scientific, technical and operational risks associated with locating the SKA at each of the short-listed sites</w:t>
            </w:r>
          </w:p>
        </w:tc>
      </w:tr>
    </w:tbl>
    <w:p w:rsidR="00204A3B" w:rsidRPr="009C6AA7" w:rsidRDefault="00204A3B" w:rsidP="00204A3B">
      <w:pPr>
        <w:spacing w:before="60" w:after="60"/>
        <w:rPr>
          <w:rFonts w:ascii="Arial" w:hAnsi="Arial" w:cs="Arial"/>
          <w:color w:val="000000"/>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31"/>
      </w:tblGrid>
      <w:tr w:rsidR="00204A3B" w:rsidRPr="008B3FCF" w:rsidTr="006110F4">
        <w:tc>
          <w:tcPr>
            <w:tcW w:w="10031" w:type="dxa"/>
          </w:tcPr>
          <w:p w:rsidR="00204A3B" w:rsidRPr="008B3FCF" w:rsidRDefault="00204A3B" w:rsidP="006110F4">
            <w:pPr>
              <w:spacing w:before="60" w:after="60"/>
              <w:rPr>
                <w:rFonts w:ascii="Arial" w:hAnsi="Arial" w:cs="Arial"/>
                <w:color w:val="000000"/>
                <w:sz w:val="20"/>
              </w:rPr>
            </w:pPr>
            <w:r w:rsidRPr="008B3FCF">
              <w:rPr>
                <w:rFonts w:ascii="Arial" w:hAnsi="Arial" w:cs="Arial"/>
                <w:b/>
                <w:color w:val="000000"/>
                <w:sz w:val="20"/>
              </w:rPr>
              <w:t>Description of work</w:t>
            </w:r>
            <w:r w:rsidRPr="008B3FCF">
              <w:rPr>
                <w:rFonts w:ascii="Arial" w:hAnsi="Arial" w:cs="Arial"/>
                <w:color w:val="000000"/>
                <w:sz w:val="20"/>
              </w:rPr>
              <w:t xml:space="preserve"> (possibly broken down into tasks), and role of participants</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A Site Characteristics Working Group will be formed to coordinate the additional studies of the two sites. It will be chaired by the </w:t>
            </w:r>
            <w:r>
              <w:rPr>
                <w:rFonts w:ascii="Arial" w:hAnsi="Arial" w:cs="Arial"/>
                <w:sz w:val="20"/>
              </w:rPr>
              <w:t>SPDO</w:t>
            </w:r>
            <w:r w:rsidRPr="008B3FCF">
              <w:rPr>
                <w:rFonts w:ascii="Arial" w:hAnsi="Arial" w:cs="Arial"/>
                <w:sz w:val="20"/>
              </w:rPr>
              <w:t xml:space="preserve"> site engineer and comprise representatives of the sites in Australia (CSIRO) and South Africa (NRF) and other participants from Europe (ASTRON, JIVE, </w:t>
            </w:r>
            <w:r>
              <w:rPr>
                <w:rFonts w:ascii="Arial" w:hAnsi="Arial" w:cs="Arial"/>
                <w:sz w:val="20"/>
              </w:rPr>
              <w:t>OBSPAR</w:t>
            </w:r>
            <w:r w:rsidRPr="008B3FCF">
              <w:rPr>
                <w:rFonts w:ascii="Arial" w:hAnsi="Arial" w:cs="Arial"/>
                <w:sz w:val="20"/>
              </w:rPr>
              <w:t>)</w:t>
            </w:r>
            <w:r>
              <w:rPr>
                <w:rFonts w:ascii="Arial" w:hAnsi="Arial" w:cs="Arial"/>
                <w:sz w:val="20"/>
              </w:rPr>
              <w:t xml:space="preserve"> and the USA (Cornell (TDP)</w:t>
            </w:r>
            <w:r w:rsidRPr="008B3FCF">
              <w:rPr>
                <w:rFonts w:ascii="Arial" w:hAnsi="Arial" w:cs="Arial"/>
                <w:sz w:val="20"/>
              </w:rPr>
              <w:t xml:space="preserve">), together with the chairs of the </w:t>
            </w:r>
            <w:r>
              <w:rPr>
                <w:rFonts w:ascii="Arial" w:hAnsi="Arial" w:cs="Arial"/>
                <w:sz w:val="20"/>
              </w:rPr>
              <w:t>SPDO</w:t>
            </w:r>
            <w:r w:rsidRPr="008B3FCF">
              <w:rPr>
                <w:rFonts w:ascii="Arial" w:hAnsi="Arial" w:cs="Arial"/>
                <w:sz w:val="20"/>
              </w:rPr>
              <w:t xml:space="preserve"> Site Evaluation Working Group (SEWG), Operations Working Group (OWG), Engineering Working Group (EWG), and Simulations Working Group (</w:t>
            </w:r>
            <w:proofErr w:type="spellStart"/>
            <w:r w:rsidRPr="008B3FCF">
              <w:rPr>
                <w:rFonts w:ascii="Arial" w:hAnsi="Arial" w:cs="Arial"/>
                <w:sz w:val="20"/>
              </w:rPr>
              <w:t>SimWG</w:t>
            </w:r>
            <w:proofErr w:type="spellEnd"/>
            <w:r w:rsidRPr="008B3FCF">
              <w:rPr>
                <w:rFonts w:ascii="Arial" w:hAnsi="Arial" w:cs="Arial"/>
                <w:sz w:val="20"/>
              </w:rPr>
              <w:t>). Eight tasks will be carried out in WP3.</w:t>
            </w:r>
          </w:p>
          <w:p w:rsidR="00204A3B" w:rsidRPr="008B3FCF" w:rsidRDefault="00204A3B" w:rsidP="006110F4">
            <w:pPr>
              <w:autoSpaceDE w:val="0"/>
              <w:autoSpaceDN w:val="0"/>
              <w:adjustRightInd w:val="0"/>
              <w:rPr>
                <w:rFonts w:ascii="Arial" w:hAnsi="Arial" w:cs="Arial"/>
                <w:sz w:val="20"/>
              </w:rPr>
            </w:pPr>
          </w:p>
          <w:p w:rsidR="00204A3B" w:rsidRPr="00A7332A" w:rsidRDefault="00204A3B" w:rsidP="006110F4">
            <w:pPr>
              <w:autoSpaceDE w:val="0"/>
              <w:autoSpaceDN w:val="0"/>
              <w:adjustRightInd w:val="0"/>
              <w:rPr>
                <w:rFonts w:ascii="Arial" w:hAnsi="Arial" w:cs="Arial"/>
                <w:b/>
                <w:sz w:val="20"/>
              </w:rPr>
            </w:pPr>
            <w:r w:rsidRPr="00A7332A">
              <w:rPr>
                <w:rFonts w:ascii="Arial" w:hAnsi="Arial" w:cs="Arial"/>
                <w:b/>
                <w:sz w:val="20"/>
              </w:rPr>
              <w:t xml:space="preserve">WP3.1: Investigate the RFI environment by carrying out deep integrations at the central site and selected remote sites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Measure the radio frequency spectrum down to as close to the ITU-specified levels as possible according to the High Sensitivity Protocol for Candidate SKA Sites, 1) in continuum and line mode across the spectrum between 100 MHz and 1.42 GHz, and 2) in continuum and line mode in the six RA frequency bands between 1.4 and 22.3 GHz.  3) Following a simplified 2003 SKA protocol, measure the radio frequency environment for 3 years in order to look for any long-term trends in RFI. Results from regional pathfinders </w:t>
            </w:r>
            <w:r>
              <w:rPr>
                <w:rFonts w:ascii="Arial" w:hAnsi="Arial" w:cs="Arial"/>
                <w:sz w:val="20"/>
              </w:rPr>
              <w:t>ASKAP</w:t>
            </w:r>
            <w:r w:rsidRPr="008B3FCF">
              <w:rPr>
                <w:rFonts w:ascii="Arial" w:hAnsi="Arial" w:cs="Arial"/>
                <w:sz w:val="20"/>
              </w:rPr>
              <w:t xml:space="preserve"> and </w:t>
            </w:r>
            <w:proofErr w:type="spellStart"/>
            <w:r>
              <w:rPr>
                <w:rFonts w:ascii="Arial" w:hAnsi="Arial" w:cs="Arial"/>
                <w:sz w:val="20"/>
              </w:rPr>
              <w:t>Meer</w:t>
            </w:r>
            <w:r w:rsidRPr="008B3FCF">
              <w:rPr>
                <w:rFonts w:ascii="Arial" w:hAnsi="Arial" w:cs="Arial"/>
                <w:sz w:val="20"/>
              </w:rPr>
              <w:t>KAT</w:t>
            </w:r>
            <w:proofErr w:type="spellEnd"/>
            <w:r w:rsidRPr="008B3FCF">
              <w:rPr>
                <w:rFonts w:ascii="Arial" w:hAnsi="Arial" w:cs="Arial"/>
                <w:sz w:val="20"/>
              </w:rPr>
              <w:t xml:space="preserve"> will also be incorporated into RFI results and conclusions.</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u w:val="single"/>
              </w:rPr>
              <w:t>Participants:</w:t>
            </w:r>
            <w:r>
              <w:rPr>
                <w:rFonts w:ascii="Arial" w:hAnsi="Arial" w:cs="Arial"/>
                <w:sz w:val="20"/>
              </w:rPr>
              <w:t xml:space="preserve"> ASTRON will lead this </w:t>
            </w:r>
            <w:proofErr w:type="gramStart"/>
            <w:r>
              <w:rPr>
                <w:rFonts w:ascii="Arial" w:hAnsi="Arial" w:cs="Arial"/>
                <w:sz w:val="20"/>
              </w:rPr>
              <w:t>task,</w:t>
            </w:r>
            <w:proofErr w:type="gramEnd"/>
            <w:r>
              <w:rPr>
                <w:rFonts w:ascii="Arial" w:hAnsi="Arial" w:cs="Arial"/>
                <w:sz w:val="20"/>
              </w:rPr>
              <w:t xml:space="preserve"> it will receive a contract from the SPDO for the </w:t>
            </w:r>
            <w:r w:rsidRPr="008B3FCF">
              <w:rPr>
                <w:rFonts w:ascii="Arial" w:hAnsi="Arial" w:cs="Arial"/>
                <w:sz w:val="20"/>
              </w:rPr>
              <w:t>acquisition and preparation of the RFI</w:t>
            </w:r>
            <w:r>
              <w:rPr>
                <w:rFonts w:ascii="Arial" w:hAnsi="Arial" w:cs="Arial"/>
                <w:sz w:val="20"/>
              </w:rPr>
              <w:t xml:space="preserve"> measurement equipment</w:t>
            </w:r>
            <w:r w:rsidRPr="008B3FCF">
              <w:rPr>
                <w:rFonts w:ascii="Arial" w:hAnsi="Arial" w:cs="Arial"/>
                <w:sz w:val="20"/>
              </w:rPr>
              <w:t xml:space="preserve">, and </w:t>
            </w:r>
            <w:r>
              <w:rPr>
                <w:rFonts w:ascii="Arial" w:hAnsi="Arial" w:cs="Arial"/>
                <w:sz w:val="20"/>
              </w:rPr>
              <w:t xml:space="preserve">will </w:t>
            </w:r>
            <w:r w:rsidRPr="008B3FCF">
              <w:rPr>
                <w:rFonts w:ascii="Arial" w:hAnsi="Arial" w:cs="Arial"/>
                <w:sz w:val="20"/>
              </w:rPr>
              <w:t xml:space="preserve">coordinate and supervise the RFI measurements in </w:t>
            </w:r>
            <w:smartTag w:uri="urn:schemas-microsoft-com:office:smarttags" w:element="country-region">
              <w:r w:rsidRPr="008B3FCF">
                <w:rPr>
                  <w:rFonts w:ascii="Arial" w:hAnsi="Arial" w:cs="Arial"/>
                  <w:sz w:val="20"/>
                </w:rPr>
                <w:t>Australia</w:t>
              </w:r>
            </w:smartTag>
            <w:r w:rsidRPr="008B3FCF">
              <w:rPr>
                <w:rFonts w:ascii="Arial" w:hAnsi="Arial" w:cs="Arial"/>
                <w:sz w:val="20"/>
              </w:rPr>
              <w:t xml:space="preserve"> and </w:t>
            </w:r>
            <w:smartTag w:uri="urn:schemas-microsoft-com:office:smarttags" w:element="place">
              <w:smartTag w:uri="urn:schemas-microsoft-com:office:smarttags" w:element="country-region">
                <w:r w:rsidRPr="008B3FCF">
                  <w:rPr>
                    <w:rFonts w:ascii="Arial" w:hAnsi="Arial" w:cs="Arial"/>
                    <w:sz w:val="20"/>
                  </w:rPr>
                  <w:t>South Africa</w:t>
                </w:r>
              </w:smartTag>
            </w:smartTag>
            <w:r w:rsidRPr="008B3FCF">
              <w:rPr>
                <w:rFonts w:ascii="Arial" w:hAnsi="Arial" w:cs="Arial"/>
                <w:sz w:val="20"/>
              </w:rPr>
              <w:t xml:space="preserve">, as well as be responsible for the analysis and reporting of the results. The CSIRO and NRF will support and carry out the measurements in </w:t>
            </w:r>
            <w:smartTag w:uri="urn:schemas-microsoft-com:office:smarttags" w:element="country-region">
              <w:r w:rsidRPr="008B3FCF">
                <w:rPr>
                  <w:rFonts w:ascii="Arial" w:hAnsi="Arial" w:cs="Arial"/>
                  <w:sz w:val="20"/>
                </w:rPr>
                <w:t>Australia</w:t>
              </w:r>
            </w:smartTag>
            <w:r w:rsidRPr="008B3FCF">
              <w:rPr>
                <w:rFonts w:ascii="Arial" w:hAnsi="Arial" w:cs="Arial"/>
                <w:sz w:val="20"/>
              </w:rPr>
              <w:t xml:space="preserve"> and </w:t>
            </w:r>
            <w:smartTag w:uri="urn:schemas-microsoft-com:office:smarttags" w:element="place">
              <w:smartTag w:uri="urn:schemas-microsoft-com:office:smarttags" w:element="country-region">
                <w:r w:rsidRPr="008B3FCF">
                  <w:rPr>
                    <w:rFonts w:ascii="Arial" w:hAnsi="Arial" w:cs="Arial"/>
                    <w:sz w:val="20"/>
                  </w:rPr>
                  <w:t>South Africa</w:t>
                </w:r>
              </w:smartTag>
            </w:smartTag>
            <w:r w:rsidRPr="008B3FCF">
              <w:rPr>
                <w:rFonts w:ascii="Arial" w:hAnsi="Arial" w:cs="Arial"/>
                <w:sz w:val="20"/>
              </w:rPr>
              <w:t xml:space="preserve"> respectively.</w:t>
            </w:r>
          </w:p>
          <w:p w:rsidR="00204A3B" w:rsidRPr="008B3FCF" w:rsidRDefault="00204A3B" w:rsidP="006110F4">
            <w:pPr>
              <w:autoSpaceDE w:val="0"/>
              <w:autoSpaceDN w:val="0"/>
              <w:adjustRightInd w:val="0"/>
              <w:rPr>
                <w:rFonts w:ascii="Arial" w:hAnsi="Arial" w:cs="Arial"/>
                <w:i/>
                <w:sz w:val="20"/>
              </w:rPr>
            </w:pPr>
          </w:p>
          <w:p w:rsidR="00204A3B" w:rsidRPr="00A7332A" w:rsidRDefault="00204A3B" w:rsidP="006110F4">
            <w:pPr>
              <w:autoSpaceDE w:val="0"/>
              <w:autoSpaceDN w:val="0"/>
              <w:adjustRightInd w:val="0"/>
              <w:rPr>
                <w:rFonts w:ascii="Arial" w:hAnsi="Arial" w:cs="Arial"/>
                <w:b/>
                <w:sz w:val="20"/>
              </w:rPr>
            </w:pPr>
            <w:r w:rsidRPr="00A7332A">
              <w:rPr>
                <w:rFonts w:ascii="Arial" w:hAnsi="Arial" w:cs="Arial"/>
                <w:b/>
                <w:sz w:val="20"/>
              </w:rPr>
              <w:t xml:space="preserve">WP3.2: Make preparations for the establishment of a Radio Quiet Zone (RQZ) for the central region of the array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The two sites are pursuing the establishment of RQZs individually. They will keep the </w:t>
            </w:r>
            <w:r>
              <w:rPr>
                <w:rFonts w:ascii="Arial" w:hAnsi="Arial" w:cs="Arial"/>
                <w:sz w:val="20"/>
              </w:rPr>
              <w:t>SPDO</w:t>
            </w:r>
            <w:r w:rsidRPr="008B3FCF">
              <w:rPr>
                <w:rFonts w:ascii="Arial" w:hAnsi="Arial" w:cs="Arial"/>
                <w:sz w:val="20"/>
              </w:rPr>
              <w:t xml:space="preserve"> informed of the expected end result and progress in its achievement. The </w:t>
            </w:r>
            <w:r>
              <w:rPr>
                <w:rFonts w:ascii="Arial" w:hAnsi="Arial" w:cs="Arial"/>
                <w:sz w:val="20"/>
              </w:rPr>
              <w:t>SPDO</w:t>
            </w:r>
            <w:r w:rsidRPr="008B3FCF">
              <w:rPr>
                <w:rFonts w:ascii="Arial" w:hAnsi="Arial" w:cs="Arial"/>
                <w:sz w:val="20"/>
              </w:rPr>
              <w:t xml:space="preserve">/SEWG Regulatory Affairs Task Force will provide comments on the individual RQZ processes when requested. The </w:t>
            </w:r>
            <w:r>
              <w:rPr>
                <w:rFonts w:ascii="Arial" w:hAnsi="Arial" w:cs="Arial"/>
                <w:sz w:val="20"/>
              </w:rPr>
              <w:t>SPDO</w:t>
            </w:r>
            <w:r w:rsidRPr="008B3FCF">
              <w:rPr>
                <w:rFonts w:ascii="Arial" w:hAnsi="Arial" w:cs="Arial"/>
                <w:sz w:val="20"/>
              </w:rPr>
              <w:t>/SEWG Task Force will participate in international efforts to have the RQZ issue brought to the attention of the International Telecommunications Union with the aim of obtaining an ITU Recommendation on the longer term.  Protection for remote array-stations will also be considered and assessed.</w:t>
            </w:r>
          </w:p>
          <w:p w:rsidR="00204A3B" w:rsidRPr="008B3FCF" w:rsidRDefault="00204A3B" w:rsidP="006110F4">
            <w:pPr>
              <w:autoSpaceDE w:val="0"/>
              <w:autoSpaceDN w:val="0"/>
              <w:adjustRightInd w:val="0"/>
              <w:rPr>
                <w:rFonts w:ascii="Arial" w:hAnsi="Arial" w:cs="Arial"/>
                <w:sz w:val="20"/>
                <w:lang w:val="en-US"/>
              </w:rPr>
            </w:pPr>
            <w:r w:rsidRPr="008B3FCF">
              <w:rPr>
                <w:rFonts w:ascii="Arial" w:hAnsi="Arial" w:cs="Arial"/>
                <w:sz w:val="20"/>
                <w:u w:val="single"/>
                <w:lang w:val="en-US"/>
              </w:rPr>
              <w:t>Participants:</w:t>
            </w:r>
            <w:r w:rsidRPr="008B3FCF">
              <w:rPr>
                <w:rFonts w:ascii="Arial" w:hAnsi="Arial" w:cs="Arial"/>
                <w:sz w:val="20"/>
                <w:lang w:val="en-US"/>
              </w:rPr>
              <w:t xml:space="preserve"> The NRF and CSIRO will be responsible for contacts with their local telecommunications authorities and for informing the </w:t>
            </w:r>
            <w:r>
              <w:rPr>
                <w:rFonts w:ascii="Arial" w:hAnsi="Arial" w:cs="Arial"/>
                <w:sz w:val="20"/>
                <w:lang w:val="en-US"/>
              </w:rPr>
              <w:t>SPDO</w:t>
            </w:r>
            <w:r w:rsidRPr="008B3FCF">
              <w:rPr>
                <w:rFonts w:ascii="Arial" w:hAnsi="Arial" w:cs="Arial"/>
                <w:sz w:val="20"/>
                <w:lang w:val="en-US"/>
              </w:rPr>
              <w:t xml:space="preserve"> of progress, on a regular basis. </w:t>
            </w:r>
            <w:r>
              <w:rPr>
                <w:rFonts w:ascii="Arial" w:hAnsi="Arial" w:cs="Arial"/>
                <w:sz w:val="20"/>
                <w:lang w:val="en-US"/>
              </w:rPr>
              <w:t>OBSPARIS</w:t>
            </w:r>
            <w:r w:rsidRPr="008B3FCF">
              <w:rPr>
                <w:rFonts w:ascii="Arial" w:hAnsi="Arial" w:cs="Arial"/>
                <w:sz w:val="20"/>
                <w:lang w:val="en-US"/>
              </w:rPr>
              <w:t xml:space="preserve"> will lead the international effort to obtain ITU recognition of RQZs.  </w:t>
            </w:r>
          </w:p>
          <w:p w:rsidR="00204A3B" w:rsidRPr="008B3FCF" w:rsidRDefault="00204A3B" w:rsidP="006110F4">
            <w:pPr>
              <w:autoSpaceDE w:val="0"/>
              <w:autoSpaceDN w:val="0"/>
              <w:adjustRightInd w:val="0"/>
              <w:rPr>
                <w:rFonts w:ascii="Arial" w:hAnsi="Arial" w:cs="Arial"/>
                <w:sz w:val="20"/>
                <w:lang w:val="en-US"/>
              </w:rPr>
            </w:pPr>
          </w:p>
          <w:p w:rsidR="00204A3B" w:rsidRPr="00A7332A" w:rsidRDefault="00204A3B" w:rsidP="006110F4">
            <w:pPr>
              <w:autoSpaceDE w:val="0"/>
              <w:autoSpaceDN w:val="0"/>
              <w:adjustRightInd w:val="0"/>
              <w:rPr>
                <w:rFonts w:ascii="Arial" w:hAnsi="Arial" w:cs="Arial"/>
                <w:b/>
                <w:sz w:val="20"/>
              </w:rPr>
            </w:pPr>
            <w:r w:rsidRPr="00A7332A">
              <w:rPr>
                <w:rFonts w:ascii="Arial" w:hAnsi="Arial" w:cs="Arial"/>
                <w:b/>
                <w:sz w:val="20"/>
              </w:rPr>
              <w:t xml:space="preserve">WP3.3: Carry out detailed studies of </w:t>
            </w:r>
            <w:proofErr w:type="spellStart"/>
            <w:r w:rsidRPr="00A7332A">
              <w:rPr>
                <w:rFonts w:ascii="Arial" w:hAnsi="Arial" w:cs="Arial"/>
                <w:b/>
                <w:sz w:val="20"/>
              </w:rPr>
              <w:t>ionospheric</w:t>
            </w:r>
            <w:proofErr w:type="spellEnd"/>
            <w:r w:rsidRPr="00A7332A">
              <w:rPr>
                <w:rFonts w:ascii="Arial" w:hAnsi="Arial" w:cs="Arial"/>
                <w:b/>
                <w:sz w:val="20"/>
              </w:rPr>
              <w:t xml:space="preserve"> fluctuations pertaining to the two sites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Obtain models of the scintillation index, S4, as a function of elevation, azimuth, time of day, and solar cycle at the central and selected remote sites to better characterise the ionosphere. Acquire detailed statistics on the size, velocity and occurrence of Travelling </w:t>
            </w:r>
            <w:proofErr w:type="spellStart"/>
            <w:r w:rsidRPr="008B3FCF">
              <w:rPr>
                <w:rFonts w:ascii="Arial" w:hAnsi="Arial" w:cs="Arial"/>
                <w:sz w:val="20"/>
              </w:rPr>
              <w:t>Ionospheric</w:t>
            </w:r>
            <w:proofErr w:type="spellEnd"/>
            <w:r w:rsidRPr="008B3FCF">
              <w:rPr>
                <w:rFonts w:ascii="Arial" w:hAnsi="Arial" w:cs="Arial"/>
                <w:sz w:val="20"/>
              </w:rPr>
              <w:t xml:space="preserve"> Disturbances (TIDs) for solar maximum and minimum.</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u w:val="single"/>
              </w:rPr>
              <w:t>Participants:</w:t>
            </w:r>
            <w:r w:rsidRPr="008B3FCF">
              <w:rPr>
                <w:rFonts w:ascii="Arial" w:hAnsi="Arial" w:cs="Arial"/>
                <w:sz w:val="20"/>
              </w:rPr>
              <w:t xml:space="preserve"> </w:t>
            </w:r>
            <w:r>
              <w:rPr>
                <w:rFonts w:ascii="Arial" w:hAnsi="Arial" w:cs="Arial"/>
                <w:sz w:val="20"/>
              </w:rPr>
              <w:t xml:space="preserve">UMAN (SPDO-CDIT) </w:t>
            </w:r>
            <w:r w:rsidRPr="008B3FCF">
              <w:rPr>
                <w:rFonts w:ascii="Arial" w:hAnsi="Arial" w:cs="Arial"/>
                <w:sz w:val="20"/>
              </w:rPr>
              <w:t>will lead this task</w:t>
            </w:r>
            <w:r>
              <w:rPr>
                <w:rFonts w:ascii="Arial" w:hAnsi="Arial" w:cs="Arial"/>
                <w:sz w:val="20"/>
              </w:rPr>
              <w:t>. UMAN, will</w:t>
            </w:r>
            <w:r w:rsidRPr="008B3FCF">
              <w:rPr>
                <w:rFonts w:ascii="Arial" w:hAnsi="Arial" w:cs="Arial"/>
                <w:sz w:val="20"/>
              </w:rPr>
              <w:t xml:space="preserve"> contract external consultants to provide the primary information.  </w:t>
            </w:r>
          </w:p>
          <w:p w:rsidR="00204A3B" w:rsidRPr="008B3FCF" w:rsidRDefault="00204A3B" w:rsidP="006110F4">
            <w:pPr>
              <w:autoSpaceDE w:val="0"/>
              <w:autoSpaceDN w:val="0"/>
              <w:adjustRightInd w:val="0"/>
              <w:rPr>
                <w:rFonts w:ascii="Arial" w:hAnsi="Arial" w:cs="Arial"/>
                <w:sz w:val="20"/>
              </w:rPr>
            </w:pPr>
          </w:p>
          <w:p w:rsidR="00204A3B" w:rsidRPr="00A7332A" w:rsidRDefault="00204A3B" w:rsidP="006110F4">
            <w:pPr>
              <w:autoSpaceDE w:val="0"/>
              <w:autoSpaceDN w:val="0"/>
              <w:adjustRightInd w:val="0"/>
              <w:rPr>
                <w:rFonts w:ascii="Arial" w:hAnsi="Arial" w:cs="Arial"/>
                <w:b/>
                <w:sz w:val="20"/>
              </w:rPr>
            </w:pPr>
            <w:r w:rsidRPr="00A7332A">
              <w:rPr>
                <w:rFonts w:ascii="Arial" w:hAnsi="Arial" w:cs="Arial"/>
                <w:b/>
                <w:sz w:val="20"/>
              </w:rPr>
              <w:t xml:space="preserve">WP3.4: Carry out studies of the effects of </w:t>
            </w:r>
            <w:proofErr w:type="spellStart"/>
            <w:r w:rsidRPr="00A7332A">
              <w:rPr>
                <w:rFonts w:ascii="Arial" w:hAnsi="Arial" w:cs="Arial"/>
                <w:b/>
                <w:sz w:val="20"/>
              </w:rPr>
              <w:t>tropospheric</w:t>
            </w:r>
            <w:proofErr w:type="spellEnd"/>
            <w:r w:rsidRPr="00A7332A">
              <w:rPr>
                <w:rFonts w:ascii="Arial" w:hAnsi="Arial" w:cs="Arial"/>
                <w:b/>
                <w:sz w:val="20"/>
              </w:rPr>
              <w:t xml:space="preserve"> turbulence on high frequency observations.</w:t>
            </w:r>
          </w:p>
          <w:p w:rsidR="00204A3B" w:rsidRPr="008B3FCF" w:rsidRDefault="00204A3B" w:rsidP="006110F4">
            <w:pPr>
              <w:autoSpaceDE w:val="0"/>
              <w:autoSpaceDN w:val="0"/>
              <w:adjustRightInd w:val="0"/>
              <w:rPr>
                <w:rFonts w:ascii="Arial" w:hAnsi="Arial" w:cs="Arial"/>
                <w:i/>
                <w:sz w:val="20"/>
              </w:rPr>
            </w:pPr>
            <w:r w:rsidRPr="008B3FCF">
              <w:rPr>
                <w:rFonts w:ascii="Arial" w:hAnsi="Arial" w:cs="Arial"/>
                <w:sz w:val="20"/>
              </w:rPr>
              <w:t>Study the high-frequency limits of phase-referencing and self-calibration, and determine the implications for the SKA design.</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u w:val="single"/>
              </w:rPr>
              <w:t>Participants</w:t>
            </w:r>
            <w:r w:rsidRPr="008B3FCF">
              <w:rPr>
                <w:rFonts w:ascii="Arial" w:hAnsi="Arial" w:cs="Arial"/>
                <w:sz w:val="20"/>
              </w:rPr>
              <w:t xml:space="preserve">: </w:t>
            </w:r>
            <w:r>
              <w:rPr>
                <w:rFonts w:ascii="Arial" w:hAnsi="Arial" w:cs="Arial"/>
                <w:sz w:val="20"/>
              </w:rPr>
              <w:t>UMAN (SPDO-CDIT)</w:t>
            </w:r>
            <w:r w:rsidRPr="008B3FCF">
              <w:rPr>
                <w:rFonts w:ascii="Arial" w:hAnsi="Arial" w:cs="Arial"/>
                <w:sz w:val="20"/>
              </w:rPr>
              <w:t xml:space="preserve"> will lead this task and draw on the knowledge in the radio astronomy community for the report.</w:t>
            </w:r>
          </w:p>
          <w:p w:rsidR="00204A3B" w:rsidRPr="008B3FCF" w:rsidRDefault="00204A3B" w:rsidP="006110F4">
            <w:pPr>
              <w:autoSpaceDE w:val="0"/>
              <w:autoSpaceDN w:val="0"/>
              <w:adjustRightInd w:val="0"/>
              <w:rPr>
                <w:rFonts w:ascii="Arial" w:hAnsi="Arial" w:cs="Arial"/>
                <w:sz w:val="20"/>
              </w:rPr>
            </w:pPr>
          </w:p>
          <w:p w:rsidR="00204A3B" w:rsidRPr="00A7332A" w:rsidRDefault="00204A3B" w:rsidP="006110F4">
            <w:pPr>
              <w:autoSpaceDE w:val="0"/>
              <w:autoSpaceDN w:val="0"/>
              <w:adjustRightInd w:val="0"/>
              <w:rPr>
                <w:rFonts w:ascii="Arial" w:hAnsi="Arial" w:cs="Arial"/>
                <w:b/>
                <w:sz w:val="20"/>
              </w:rPr>
            </w:pPr>
            <w:r w:rsidRPr="00A7332A">
              <w:rPr>
                <w:rFonts w:ascii="Arial" w:hAnsi="Arial" w:cs="Arial"/>
                <w:b/>
                <w:sz w:val="20"/>
              </w:rPr>
              <w:t xml:space="preserve">WP3.5: Optimize the array configuration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Study the ideal configurations for the SKA for the different Key Science Projects and determine the single configuration that </w:t>
            </w:r>
            <w:r>
              <w:rPr>
                <w:rFonts w:ascii="Arial" w:hAnsi="Arial" w:cs="Arial"/>
                <w:sz w:val="20"/>
              </w:rPr>
              <w:t xml:space="preserve">optimises the total return from </w:t>
            </w:r>
            <w:r w:rsidRPr="008B3FCF">
              <w:rPr>
                <w:rFonts w:ascii="Arial" w:hAnsi="Arial" w:cs="Arial"/>
                <w:sz w:val="20"/>
              </w:rPr>
              <w:t>the Key Science Project</w:t>
            </w:r>
            <w:r>
              <w:rPr>
                <w:rFonts w:ascii="Arial" w:hAnsi="Arial" w:cs="Arial"/>
                <w:sz w:val="20"/>
              </w:rPr>
              <w:t>s</w:t>
            </w:r>
            <w:r w:rsidRPr="008B3FCF">
              <w:rPr>
                <w:rFonts w:ascii="Arial" w:hAnsi="Arial" w:cs="Arial"/>
                <w:sz w:val="20"/>
              </w:rPr>
              <w:t xml:space="preserve">. Match the “ideal” configuration to the geographical realities of the two short-listed sites in order to determine the optimum configuration for each site. This task will draw on the work done in SKADS DS2T2 to provide the primary information on the ideal configuration.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u w:val="single"/>
              </w:rPr>
              <w:t>Participants:</w:t>
            </w:r>
            <w:r w:rsidRPr="008B3FCF">
              <w:rPr>
                <w:rFonts w:ascii="Arial" w:hAnsi="Arial" w:cs="Arial"/>
                <w:sz w:val="20"/>
              </w:rPr>
              <w:t xml:space="preserve"> </w:t>
            </w:r>
            <w:r>
              <w:rPr>
                <w:rFonts w:ascii="Arial" w:hAnsi="Arial" w:cs="Arial"/>
                <w:sz w:val="20"/>
              </w:rPr>
              <w:t>UMAN (SPDO-CDIT)</w:t>
            </w:r>
            <w:r w:rsidRPr="003B7FCD">
              <w:rPr>
                <w:rFonts w:ascii="Arial" w:hAnsi="Arial" w:cs="Arial"/>
                <w:sz w:val="20"/>
              </w:rPr>
              <w:t xml:space="preserve"> will lead this task and, through the </w:t>
            </w:r>
            <w:proofErr w:type="spellStart"/>
            <w:r w:rsidRPr="003B7FCD">
              <w:rPr>
                <w:rFonts w:ascii="Arial" w:hAnsi="Arial" w:cs="Arial"/>
                <w:sz w:val="20"/>
              </w:rPr>
              <w:t>SimWG</w:t>
            </w:r>
            <w:proofErr w:type="spellEnd"/>
            <w:r w:rsidRPr="003B7FCD">
              <w:rPr>
                <w:rFonts w:ascii="Arial" w:hAnsi="Arial" w:cs="Arial"/>
                <w:sz w:val="20"/>
              </w:rPr>
              <w:t>, will interface</w:t>
            </w:r>
            <w:r>
              <w:rPr>
                <w:rFonts w:ascii="Arial" w:hAnsi="Arial" w:cs="Arial"/>
                <w:sz w:val="20"/>
              </w:rPr>
              <w:t xml:space="preserve"> </w:t>
            </w:r>
            <w:r w:rsidRPr="003B7FCD">
              <w:rPr>
                <w:rFonts w:ascii="Arial" w:hAnsi="Arial" w:cs="Arial"/>
                <w:sz w:val="20"/>
              </w:rPr>
              <w:t>with JIVE (representing SKADS), CSIRO (including Curtin University of</w:t>
            </w:r>
            <w:r>
              <w:rPr>
                <w:rFonts w:ascii="Arial" w:hAnsi="Arial" w:cs="Arial"/>
                <w:sz w:val="20"/>
              </w:rPr>
              <w:t xml:space="preserve"> Technology) </w:t>
            </w:r>
            <w:r w:rsidRPr="003B7FCD">
              <w:rPr>
                <w:rFonts w:ascii="Arial" w:hAnsi="Arial" w:cs="Arial"/>
                <w:sz w:val="20"/>
              </w:rPr>
              <w:t>and NRF</w:t>
            </w:r>
            <w:r>
              <w:rPr>
                <w:rFonts w:ascii="Arial" w:hAnsi="Arial" w:cs="Arial"/>
                <w:sz w:val="20"/>
              </w:rPr>
              <w:t>.</w:t>
            </w:r>
          </w:p>
          <w:p w:rsidR="00204A3B" w:rsidRPr="008B3FCF" w:rsidRDefault="00204A3B" w:rsidP="006110F4">
            <w:pPr>
              <w:autoSpaceDE w:val="0"/>
              <w:autoSpaceDN w:val="0"/>
              <w:adjustRightInd w:val="0"/>
              <w:rPr>
                <w:rFonts w:ascii="Arial" w:hAnsi="Arial" w:cs="Arial"/>
                <w:sz w:val="20"/>
              </w:rPr>
            </w:pPr>
          </w:p>
          <w:p w:rsidR="00204A3B" w:rsidRPr="004B08C6" w:rsidRDefault="00204A3B" w:rsidP="006110F4">
            <w:pPr>
              <w:autoSpaceDE w:val="0"/>
              <w:autoSpaceDN w:val="0"/>
              <w:adjustRightInd w:val="0"/>
              <w:rPr>
                <w:rFonts w:ascii="Arial" w:hAnsi="Arial" w:cs="Arial"/>
                <w:b/>
                <w:sz w:val="20"/>
              </w:rPr>
            </w:pPr>
            <w:r w:rsidRPr="004B08C6">
              <w:rPr>
                <w:rFonts w:ascii="Arial" w:hAnsi="Arial" w:cs="Arial"/>
                <w:b/>
                <w:sz w:val="20"/>
              </w:rPr>
              <w:t>WP3.6: Determine the influence of the site physical characteristics on the telescope design, operations, and costs</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The characteristics of the sites (e.g. ambient temperature, wind levels, level of RFI) are likely to have an influence on the telescope design. Information from the Pathfinder telescopes and from the European SKADS DS3T1 and US TDP studies will be gathered to address this issue and its potential influence on the costs.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u w:val="single"/>
              </w:rPr>
              <w:t>Participants:</w:t>
            </w:r>
            <w:r w:rsidRPr="008B3FCF">
              <w:rPr>
                <w:rFonts w:ascii="Arial" w:hAnsi="Arial" w:cs="Arial"/>
                <w:sz w:val="20"/>
              </w:rPr>
              <w:t xml:space="preserve"> </w:t>
            </w:r>
            <w:r>
              <w:rPr>
                <w:rFonts w:ascii="Arial" w:hAnsi="Arial" w:cs="Arial"/>
                <w:sz w:val="20"/>
              </w:rPr>
              <w:t>UMAN (SPDO-CDIT)</w:t>
            </w:r>
            <w:r w:rsidRPr="008B3FCF">
              <w:rPr>
                <w:rFonts w:ascii="Arial" w:hAnsi="Arial" w:cs="Arial"/>
                <w:sz w:val="20"/>
              </w:rPr>
              <w:t xml:space="preserve"> will lead this task, consult with NRF and CSIRO, and integrate the SKADS and TDP results in the design considerations. </w:t>
            </w:r>
          </w:p>
          <w:p w:rsidR="00204A3B" w:rsidRPr="008B3FCF" w:rsidRDefault="00204A3B" w:rsidP="006110F4">
            <w:pPr>
              <w:autoSpaceDE w:val="0"/>
              <w:autoSpaceDN w:val="0"/>
              <w:adjustRightInd w:val="0"/>
              <w:rPr>
                <w:rFonts w:ascii="Arial" w:hAnsi="Arial" w:cs="Arial"/>
                <w:sz w:val="20"/>
              </w:rPr>
            </w:pPr>
          </w:p>
          <w:p w:rsidR="00204A3B" w:rsidRPr="004B08C6" w:rsidRDefault="00204A3B" w:rsidP="006110F4">
            <w:pPr>
              <w:autoSpaceDE w:val="0"/>
              <w:autoSpaceDN w:val="0"/>
              <w:adjustRightInd w:val="0"/>
              <w:rPr>
                <w:rFonts w:ascii="Arial" w:hAnsi="Arial" w:cs="Arial"/>
                <w:b/>
                <w:sz w:val="20"/>
              </w:rPr>
            </w:pPr>
            <w:r w:rsidRPr="004B08C6">
              <w:rPr>
                <w:rFonts w:ascii="Arial" w:hAnsi="Arial" w:cs="Arial"/>
                <w:b/>
                <w:sz w:val="20"/>
              </w:rPr>
              <w:t xml:space="preserve">WP3.7: Investigate infrastructure deployment costs and timescales, operational models </w:t>
            </w:r>
          </w:p>
          <w:p w:rsidR="00204A3B" w:rsidRPr="008B3FCF" w:rsidRDefault="00204A3B" w:rsidP="006110F4">
            <w:pPr>
              <w:autoSpaceDE w:val="0"/>
              <w:autoSpaceDN w:val="0"/>
              <w:adjustRightInd w:val="0"/>
              <w:rPr>
                <w:rFonts w:ascii="Arial" w:hAnsi="Arial" w:cs="Arial"/>
                <w:i/>
                <w:sz w:val="20"/>
              </w:rPr>
            </w:pPr>
            <w:r w:rsidRPr="008B3FCF">
              <w:rPr>
                <w:rFonts w:ascii="Arial" w:hAnsi="Arial" w:cs="Arial"/>
                <w:i/>
                <w:sz w:val="20"/>
              </w:rPr>
              <w:t>1) Deployment costs based on uniform designs and standards</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Develop uniform designs and standards for estimating the costs of the infrastructure and its decommissioning. </w:t>
            </w:r>
          </w:p>
          <w:p w:rsidR="00204A3B" w:rsidRPr="008B3FCF" w:rsidRDefault="00204A3B" w:rsidP="006110F4">
            <w:pPr>
              <w:autoSpaceDE w:val="0"/>
              <w:autoSpaceDN w:val="0"/>
              <w:adjustRightInd w:val="0"/>
              <w:rPr>
                <w:rFonts w:ascii="Arial" w:hAnsi="Arial" w:cs="Arial"/>
                <w:i/>
                <w:sz w:val="20"/>
              </w:rPr>
            </w:pPr>
            <w:r w:rsidRPr="008B3FCF">
              <w:rPr>
                <w:rFonts w:ascii="Arial" w:hAnsi="Arial" w:cs="Arial"/>
                <w:i/>
                <w:sz w:val="20"/>
              </w:rPr>
              <w:t>2) Timescales for the deployment of the telescope infrastructure</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Refine current estimates of the timescale for infrastructure deployment for each of the sites specifically, in consultation with the sites. </w:t>
            </w:r>
          </w:p>
          <w:p w:rsidR="00204A3B" w:rsidRPr="008B3FCF" w:rsidRDefault="00204A3B" w:rsidP="006110F4">
            <w:pPr>
              <w:autoSpaceDE w:val="0"/>
              <w:autoSpaceDN w:val="0"/>
              <w:adjustRightInd w:val="0"/>
              <w:rPr>
                <w:rFonts w:ascii="Arial" w:hAnsi="Arial" w:cs="Arial"/>
                <w:i/>
                <w:sz w:val="20"/>
              </w:rPr>
            </w:pPr>
            <w:r w:rsidRPr="008B3FCF">
              <w:rPr>
                <w:rFonts w:ascii="Arial" w:hAnsi="Arial" w:cs="Arial"/>
                <w:i/>
                <w:sz w:val="20"/>
              </w:rPr>
              <w:t xml:space="preserve">3) Operational models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Develop the “ideal” operational model for the SKA which can then be applied to the two sites individually and adapted to the local realities, liaising with WP2.1.3, WP 2.1.4 and WP2.1.5. Provide draft operations agreements for remote stations in other countries, where appropriate.</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u w:val="single"/>
              </w:rPr>
              <w:t>Participants:</w:t>
            </w:r>
            <w:r w:rsidRPr="008B3FCF">
              <w:rPr>
                <w:rFonts w:ascii="Arial" w:hAnsi="Arial" w:cs="Arial"/>
                <w:sz w:val="20"/>
              </w:rPr>
              <w:t xml:space="preserve"> This task will be led by </w:t>
            </w:r>
            <w:r>
              <w:rPr>
                <w:rFonts w:ascii="Arial" w:hAnsi="Arial" w:cs="Arial"/>
                <w:sz w:val="20"/>
              </w:rPr>
              <w:t>UMAN (SPDO-CDIT)</w:t>
            </w:r>
            <w:r w:rsidRPr="008B3FCF">
              <w:rPr>
                <w:rFonts w:ascii="Arial" w:hAnsi="Arial" w:cs="Arial"/>
                <w:sz w:val="20"/>
              </w:rPr>
              <w:t xml:space="preserve"> who will engage external consultants for the infrastructure cost and timescale studies. The </w:t>
            </w:r>
            <w:r>
              <w:rPr>
                <w:rFonts w:ascii="Arial" w:hAnsi="Arial" w:cs="Arial"/>
                <w:sz w:val="20"/>
              </w:rPr>
              <w:t>SPDO</w:t>
            </w:r>
            <w:r w:rsidRPr="008B3FCF">
              <w:rPr>
                <w:rFonts w:ascii="Arial" w:hAnsi="Arial" w:cs="Arial"/>
                <w:sz w:val="20"/>
              </w:rPr>
              <w:t xml:space="preserve">/OWG and </w:t>
            </w:r>
            <w:r>
              <w:rPr>
                <w:rFonts w:ascii="Arial" w:hAnsi="Arial" w:cs="Arial"/>
                <w:sz w:val="20"/>
              </w:rPr>
              <w:t>SPDO</w:t>
            </w:r>
            <w:r w:rsidRPr="008B3FCF">
              <w:rPr>
                <w:rFonts w:ascii="Arial" w:hAnsi="Arial" w:cs="Arial"/>
                <w:sz w:val="20"/>
              </w:rPr>
              <w:t>/EWG will generate the operational model in consultation with NRF and CSIRO. CSIRO and NRF will be responsible for the operations agreements for remote stations.</w:t>
            </w:r>
          </w:p>
          <w:p w:rsidR="00204A3B" w:rsidRPr="008B3FCF" w:rsidRDefault="00204A3B" w:rsidP="006110F4">
            <w:pPr>
              <w:autoSpaceDE w:val="0"/>
              <w:autoSpaceDN w:val="0"/>
              <w:adjustRightInd w:val="0"/>
              <w:rPr>
                <w:rFonts w:ascii="Arial" w:hAnsi="Arial" w:cs="Arial"/>
                <w:sz w:val="20"/>
              </w:rPr>
            </w:pPr>
          </w:p>
          <w:p w:rsidR="00204A3B" w:rsidRPr="004B08C6" w:rsidRDefault="00204A3B" w:rsidP="006110F4">
            <w:pPr>
              <w:autoSpaceDE w:val="0"/>
              <w:autoSpaceDN w:val="0"/>
              <w:adjustRightInd w:val="0"/>
              <w:rPr>
                <w:rFonts w:ascii="Arial" w:hAnsi="Arial" w:cs="Arial"/>
                <w:b/>
                <w:sz w:val="20"/>
              </w:rPr>
            </w:pPr>
            <w:r w:rsidRPr="004B08C6">
              <w:rPr>
                <w:rFonts w:ascii="Arial" w:hAnsi="Arial" w:cs="Arial"/>
                <w:b/>
                <w:sz w:val="20"/>
              </w:rPr>
              <w:t xml:space="preserve">WP3.8: Sustainability of the science environment in the face of potential RFI threats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rPr>
              <w:t xml:space="preserve">Acquire additional demographic studies of the regions surrounding the central array and the remote stations to refine estimates of the future RFI threat. Analyse the potential consequences of any mining or other development interests near the central sites. </w:t>
            </w:r>
          </w:p>
          <w:p w:rsidR="00204A3B" w:rsidRPr="008B3FCF" w:rsidRDefault="00204A3B" w:rsidP="006110F4">
            <w:pPr>
              <w:autoSpaceDE w:val="0"/>
              <w:autoSpaceDN w:val="0"/>
              <w:adjustRightInd w:val="0"/>
              <w:rPr>
                <w:rFonts w:ascii="Arial" w:hAnsi="Arial" w:cs="Arial"/>
                <w:sz w:val="20"/>
              </w:rPr>
            </w:pPr>
            <w:r w:rsidRPr="008B3FCF">
              <w:rPr>
                <w:rFonts w:ascii="Arial" w:hAnsi="Arial" w:cs="Arial"/>
                <w:sz w:val="20"/>
                <w:u w:val="single"/>
              </w:rPr>
              <w:t>Participants:</w:t>
            </w:r>
            <w:r w:rsidRPr="008B3FCF">
              <w:rPr>
                <w:rFonts w:ascii="Arial" w:hAnsi="Arial" w:cs="Arial"/>
                <w:sz w:val="20"/>
              </w:rPr>
              <w:t xml:space="preserve"> This task will be led by </w:t>
            </w:r>
            <w:r>
              <w:rPr>
                <w:rFonts w:ascii="Arial" w:hAnsi="Arial" w:cs="Arial"/>
                <w:sz w:val="20"/>
              </w:rPr>
              <w:t>UMAN (SPDO-CDIT)</w:t>
            </w:r>
            <w:r w:rsidRPr="008B3FCF">
              <w:rPr>
                <w:rFonts w:ascii="Arial" w:hAnsi="Arial" w:cs="Arial"/>
                <w:sz w:val="20"/>
              </w:rPr>
              <w:t xml:space="preserve"> who will contract external consultants to supply the demographic and other information required.</w:t>
            </w:r>
          </w:p>
        </w:tc>
      </w:tr>
    </w:tbl>
    <w:p w:rsidR="00204A3B" w:rsidRPr="009C6AA7" w:rsidRDefault="00204A3B" w:rsidP="00204A3B">
      <w:pPr>
        <w:rPr>
          <w:rFonts w:ascii="Arial" w:hAnsi="Arial" w:cs="Arial"/>
          <w:color w:val="000000"/>
          <w:sz w:val="20"/>
        </w:rPr>
      </w:pPr>
    </w:p>
    <w:p w:rsidR="00204A3B" w:rsidRPr="009C6AA7" w:rsidRDefault="00204A3B" w:rsidP="00204A3B">
      <w:pPr>
        <w:rPr>
          <w:rFonts w:ascii="Arial" w:hAnsi="Arial" w:cs="Arial"/>
          <w:color w:val="000000"/>
          <w:sz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31"/>
      </w:tblGrid>
      <w:tr w:rsidR="00204A3B" w:rsidRPr="008B3FCF" w:rsidTr="006110F4">
        <w:tc>
          <w:tcPr>
            <w:tcW w:w="10031" w:type="dxa"/>
          </w:tcPr>
          <w:p w:rsidR="00204A3B" w:rsidRPr="008B3FCF" w:rsidRDefault="00204A3B" w:rsidP="006110F4">
            <w:pPr>
              <w:spacing w:before="60" w:after="60"/>
              <w:rPr>
                <w:rFonts w:ascii="Arial" w:hAnsi="Arial" w:cs="Arial"/>
                <w:color w:val="000000"/>
                <w:sz w:val="20"/>
              </w:rPr>
            </w:pPr>
            <w:r w:rsidRPr="008B3FCF">
              <w:rPr>
                <w:rFonts w:ascii="Arial" w:hAnsi="Arial" w:cs="Arial"/>
                <w:b/>
                <w:color w:val="000000"/>
                <w:sz w:val="20"/>
              </w:rPr>
              <w:t>Deliverables</w:t>
            </w:r>
            <w:r w:rsidRPr="008B3FCF">
              <w:rPr>
                <w:rFonts w:ascii="Arial" w:hAnsi="Arial" w:cs="Arial"/>
                <w:color w:val="000000"/>
                <w:sz w:val="20"/>
              </w:rPr>
              <w:t xml:space="preserve"> (brief description and month of delivery)</w:t>
            </w:r>
          </w:p>
          <w:p w:rsidR="00204A3B" w:rsidRPr="008B3FCF" w:rsidRDefault="00204A3B" w:rsidP="006110F4">
            <w:pPr>
              <w:spacing w:before="60" w:after="60"/>
              <w:rPr>
                <w:rFonts w:ascii="Arial" w:hAnsi="Arial" w:cs="Arial"/>
                <w:sz w:val="20"/>
              </w:rPr>
            </w:pPr>
            <w:r w:rsidRPr="008B3FCF">
              <w:rPr>
                <w:rFonts w:ascii="Arial" w:hAnsi="Arial" w:cs="Arial"/>
                <w:sz w:val="20"/>
              </w:rPr>
              <w:t xml:space="preserve">1) Report on </w:t>
            </w:r>
            <w:proofErr w:type="spellStart"/>
            <w:r w:rsidRPr="008B3FCF">
              <w:rPr>
                <w:rFonts w:ascii="Arial" w:hAnsi="Arial" w:cs="Arial"/>
                <w:sz w:val="20"/>
              </w:rPr>
              <w:t>ionospheric</w:t>
            </w:r>
            <w:proofErr w:type="spellEnd"/>
            <w:r w:rsidRPr="008B3FCF">
              <w:rPr>
                <w:rFonts w:ascii="Arial" w:hAnsi="Arial" w:cs="Arial"/>
                <w:sz w:val="20"/>
              </w:rPr>
              <w:t xml:space="preserve"> scintillation and TIDs for </w:t>
            </w:r>
            <w:smartTag w:uri="urn:schemas-microsoft-com:office:smarttags" w:element="place">
              <w:smartTag w:uri="urn:schemas-microsoft-com:office:smarttags" w:element="country-region">
                <w:r w:rsidRPr="008B3FCF">
                  <w:rPr>
                    <w:rFonts w:ascii="Arial" w:hAnsi="Arial" w:cs="Arial"/>
                    <w:sz w:val="20"/>
                  </w:rPr>
                  <w:t>Australia</w:t>
                </w:r>
              </w:smartTag>
            </w:smartTag>
            <w:r w:rsidRPr="008B3FCF">
              <w:rPr>
                <w:rFonts w:ascii="Arial" w:hAnsi="Arial" w:cs="Arial"/>
                <w:sz w:val="20"/>
              </w:rPr>
              <w:t xml:space="preserve"> and Southern Africa (WP3.3). Type: Report. Delivery: T + 6 months</w:t>
            </w:r>
          </w:p>
          <w:p w:rsidR="00204A3B" w:rsidRPr="008B3FCF" w:rsidRDefault="00204A3B" w:rsidP="006110F4">
            <w:pPr>
              <w:spacing w:before="60" w:after="60"/>
              <w:rPr>
                <w:rFonts w:ascii="Arial" w:hAnsi="Arial" w:cs="Arial"/>
                <w:sz w:val="20"/>
              </w:rPr>
            </w:pPr>
            <w:r w:rsidRPr="008B3FCF">
              <w:rPr>
                <w:rFonts w:ascii="Arial" w:hAnsi="Arial" w:cs="Arial"/>
                <w:sz w:val="20"/>
              </w:rPr>
              <w:t>2) Deliver RFI hardware and software (WP3.1). Type: Other. Delivery: T + 12 months</w:t>
            </w:r>
          </w:p>
          <w:p w:rsidR="00204A3B" w:rsidRPr="008B3FCF" w:rsidRDefault="00204A3B" w:rsidP="006110F4">
            <w:pPr>
              <w:spacing w:before="60" w:after="60"/>
              <w:rPr>
                <w:rFonts w:ascii="Arial" w:hAnsi="Arial" w:cs="Arial"/>
                <w:sz w:val="20"/>
              </w:rPr>
            </w:pPr>
            <w:r w:rsidRPr="008B3FCF">
              <w:rPr>
                <w:rFonts w:ascii="Arial" w:hAnsi="Arial" w:cs="Arial"/>
                <w:sz w:val="20"/>
              </w:rPr>
              <w:t>3) Report on phase referencing and self-calibration for SKA measurements at high frequencies (WP3.4). Type: Report. Deliver: T + 12 months</w:t>
            </w:r>
          </w:p>
          <w:p w:rsidR="00204A3B" w:rsidRPr="008B3FCF" w:rsidRDefault="00204A3B" w:rsidP="006110F4">
            <w:pPr>
              <w:spacing w:before="60" w:after="60"/>
              <w:rPr>
                <w:rFonts w:ascii="Arial" w:hAnsi="Arial" w:cs="Arial"/>
                <w:sz w:val="20"/>
              </w:rPr>
            </w:pPr>
            <w:r w:rsidRPr="008B3FCF">
              <w:rPr>
                <w:rFonts w:ascii="Arial" w:hAnsi="Arial" w:cs="Arial"/>
                <w:sz w:val="20"/>
              </w:rPr>
              <w:t>4) Report on the optimum configuration for the SKA (WP3.5). Type: Report. Delivery: T + 18 months</w:t>
            </w:r>
          </w:p>
          <w:p w:rsidR="00204A3B" w:rsidRPr="008B3FCF" w:rsidRDefault="00204A3B" w:rsidP="006110F4">
            <w:pPr>
              <w:spacing w:before="60" w:after="60"/>
              <w:rPr>
                <w:rFonts w:ascii="Arial" w:hAnsi="Arial" w:cs="Arial"/>
                <w:sz w:val="20"/>
              </w:rPr>
            </w:pPr>
            <w:r w:rsidRPr="008B3FCF">
              <w:rPr>
                <w:rFonts w:ascii="Arial" w:hAnsi="Arial" w:cs="Arial"/>
                <w:sz w:val="20"/>
              </w:rPr>
              <w:t xml:space="preserve">5) Report on the influence of the physical characteristics of the sites on telescope design, operations, and costs (WP3.6). Type: Report. Delivery: T + 36 months </w:t>
            </w:r>
          </w:p>
          <w:p w:rsidR="00204A3B" w:rsidRPr="008B3FCF" w:rsidRDefault="00204A3B" w:rsidP="006110F4">
            <w:pPr>
              <w:spacing w:before="60" w:after="60"/>
              <w:rPr>
                <w:rFonts w:ascii="Arial" w:hAnsi="Arial" w:cs="Arial"/>
                <w:sz w:val="20"/>
              </w:rPr>
            </w:pPr>
            <w:r w:rsidRPr="008B3FCF">
              <w:rPr>
                <w:rFonts w:ascii="Arial" w:hAnsi="Arial" w:cs="Arial"/>
                <w:sz w:val="20"/>
              </w:rPr>
              <w:t xml:space="preserve">6) Report on the infrastructure deployment timescales, costs and operational models (WP3.7). Type: Report. Delivery: T + 30 months </w:t>
            </w:r>
          </w:p>
          <w:p w:rsidR="00204A3B" w:rsidRPr="008B3FCF" w:rsidRDefault="00204A3B" w:rsidP="006110F4">
            <w:pPr>
              <w:spacing w:before="60" w:after="60"/>
              <w:rPr>
                <w:rFonts w:ascii="Arial" w:hAnsi="Arial" w:cs="Arial"/>
                <w:sz w:val="20"/>
              </w:rPr>
            </w:pPr>
            <w:r w:rsidRPr="008B3FCF">
              <w:rPr>
                <w:rFonts w:ascii="Arial" w:hAnsi="Arial" w:cs="Arial"/>
                <w:sz w:val="20"/>
              </w:rPr>
              <w:lastRenderedPageBreak/>
              <w:t xml:space="preserve">7) Report on the risk analysis of the science environment (WP3.8). Type: Report. Delivery: T + 30 months. </w:t>
            </w:r>
          </w:p>
          <w:p w:rsidR="00204A3B" w:rsidRPr="008B3FCF" w:rsidRDefault="00204A3B" w:rsidP="006110F4">
            <w:pPr>
              <w:spacing w:before="60" w:after="60"/>
              <w:rPr>
                <w:rFonts w:ascii="Arial" w:hAnsi="Arial" w:cs="Arial"/>
                <w:color w:val="000000"/>
                <w:sz w:val="20"/>
              </w:rPr>
            </w:pPr>
            <w:r w:rsidRPr="008B3FCF">
              <w:rPr>
                <w:rFonts w:ascii="Arial" w:hAnsi="Arial" w:cs="Arial"/>
                <w:sz w:val="20"/>
              </w:rPr>
              <w:t>8) Report on RFI measurements in Australia (WP3.1). Type: Other. Delivery : T + 33 months</w:t>
            </w:r>
          </w:p>
          <w:p w:rsidR="00204A3B" w:rsidRPr="008B3FCF" w:rsidRDefault="00204A3B" w:rsidP="006110F4">
            <w:pPr>
              <w:spacing w:before="60" w:after="60"/>
              <w:rPr>
                <w:rFonts w:ascii="Arial" w:hAnsi="Arial" w:cs="Arial"/>
                <w:sz w:val="20"/>
              </w:rPr>
            </w:pPr>
            <w:r w:rsidRPr="008B3FCF">
              <w:rPr>
                <w:rFonts w:ascii="Arial" w:hAnsi="Arial" w:cs="Arial"/>
                <w:sz w:val="20"/>
              </w:rPr>
              <w:t xml:space="preserve">9) Report on RFI measurements in South Africa (WP3.1). Type: Other. Delivery: T + 33 months </w:t>
            </w:r>
          </w:p>
          <w:p w:rsidR="00204A3B" w:rsidRPr="008B3FCF" w:rsidRDefault="00204A3B" w:rsidP="006110F4">
            <w:pPr>
              <w:spacing w:before="60" w:after="60"/>
              <w:rPr>
                <w:rFonts w:ascii="Arial" w:hAnsi="Arial" w:cs="Arial"/>
                <w:sz w:val="20"/>
              </w:rPr>
            </w:pPr>
            <w:r w:rsidRPr="008B3FCF">
              <w:rPr>
                <w:rFonts w:ascii="Arial" w:hAnsi="Arial" w:cs="Arial"/>
                <w:sz w:val="20"/>
              </w:rPr>
              <w:t>10) Report on progress and prospects for Radio Quiet Zones for the short-listed SKA sites (WP3.2). Type: Report. Delivery: T + 36 months</w:t>
            </w:r>
          </w:p>
          <w:p w:rsidR="00204A3B" w:rsidRPr="008B3FCF" w:rsidRDefault="00204A3B" w:rsidP="006110F4">
            <w:pPr>
              <w:spacing w:before="60" w:after="60"/>
              <w:rPr>
                <w:rFonts w:ascii="Arial" w:hAnsi="Arial" w:cs="Arial"/>
                <w:sz w:val="20"/>
              </w:rPr>
            </w:pPr>
            <w:r w:rsidRPr="008B3FCF">
              <w:rPr>
                <w:rFonts w:ascii="Arial" w:hAnsi="Arial" w:cs="Arial"/>
                <w:sz w:val="20"/>
              </w:rPr>
              <w:t>11) Final report. Type: Report. Delivery: T + 36 months</w:t>
            </w:r>
          </w:p>
        </w:tc>
      </w:tr>
    </w:tbl>
    <w:p w:rsidR="00CA4FE4" w:rsidRDefault="00CA4FE4"/>
    <w:sectPr w:rsidR="00CA4FE4" w:rsidSect="00CA4F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3B" w:rsidRDefault="00204A3B" w:rsidP="00204A3B">
      <w:r>
        <w:separator/>
      </w:r>
    </w:p>
  </w:endnote>
  <w:endnote w:type="continuationSeparator" w:id="0">
    <w:p w:rsidR="00204A3B" w:rsidRDefault="00204A3B" w:rsidP="00204A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3B" w:rsidRDefault="00204A3B" w:rsidP="00204A3B">
      <w:r>
        <w:separator/>
      </w:r>
    </w:p>
  </w:footnote>
  <w:footnote w:type="continuationSeparator" w:id="0">
    <w:p w:rsidR="00204A3B" w:rsidRDefault="00204A3B" w:rsidP="00204A3B">
      <w:r>
        <w:continuationSeparator/>
      </w:r>
    </w:p>
  </w:footnote>
  <w:footnote w:id="1">
    <w:p w:rsidR="00204A3B" w:rsidRDefault="00204A3B" w:rsidP="00204A3B"/>
    <w:p w:rsidR="00204A3B" w:rsidRDefault="00204A3B" w:rsidP="00204A3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446C5"/>
    <w:multiLevelType w:val="hybridMultilevel"/>
    <w:tmpl w:val="6270E91A"/>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revisionView w:inkAnnotations="0"/>
  <w:defaultTabStop w:val="720"/>
  <w:characterSpacingControl w:val="doNotCompress"/>
  <w:footnotePr>
    <w:footnote w:id="-1"/>
    <w:footnote w:id="0"/>
  </w:footnotePr>
  <w:endnotePr>
    <w:endnote w:id="-1"/>
    <w:endnote w:id="0"/>
  </w:endnotePr>
  <w:compat/>
  <w:rsids>
    <w:rsidRoot w:val="00204A3B"/>
    <w:rsid w:val="00204A3B"/>
    <w:rsid w:val="00CA4F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3B"/>
    <w:pPr>
      <w:spacing w:after="0" w:line="240" w:lineRule="auto"/>
      <w:jc w:val="both"/>
    </w:pPr>
    <w:rPr>
      <w:rFonts w:ascii="Times New Roman" w:eastAsia="Times New Roman" w:hAnsi="Times New Roman" w:cs="Times New Roman"/>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otnote text"/>
    <w:basedOn w:val="Normal"/>
    <w:link w:val="FootnoteTextChar"/>
    <w:semiHidden/>
    <w:rsid w:val="00204A3B"/>
    <w:rPr>
      <w:sz w:val="20"/>
      <w:szCs w:val="20"/>
    </w:rPr>
  </w:style>
  <w:style w:type="character" w:customStyle="1" w:styleId="FootnoteTextChar">
    <w:name w:val="Footnote Text Char"/>
    <w:basedOn w:val="DefaultParagraphFont"/>
    <w:link w:val="FootnoteText"/>
    <w:semiHidden/>
    <w:rsid w:val="00204A3B"/>
    <w:rPr>
      <w:rFonts w:ascii="Times New Roman" w:eastAsia="Times New Roman" w:hAnsi="Times New Roman" w:cs="Times New Roman"/>
      <w:sz w:val="20"/>
      <w:szCs w:val="20"/>
      <w:lang w:eastAsia="fr-BE"/>
    </w:rPr>
  </w:style>
  <w:style w:type="character" w:styleId="FootnoteReference">
    <w:name w:val="footnote reference"/>
    <w:basedOn w:val="DefaultParagraphFont"/>
    <w:semiHidden/>
    <w:rsid w:val="00204A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1261</Words>
  <Characters>7194</Characters>
  <Application>Microsoft Office Word</Application>
  <DocSecurity>0</DocSecurity>
  <Lines>59</Lines>
  <Paragraphs>16</Paragraphs>
  <ScaleCrop>false</ScaleCrop>
  <Company>TOSHIBA</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dc:creator>
  <cp:lastModifiedBy>adams</cp:lastModifiedBy>
  <cp:revision>1</cp:revision>
  <dcterms:created xsi:type="dcterms:W3CDTF">2010-09-01T15:15:00Z</dcterms:created>
  <dcterms:modified xsi:type="dcterms:W3CDTF">2010-09-01T15:16:00Z</dcterms:modified>
</cp:coreProperties>
</file>